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671A1" w14:textId="77777777" w:rsidR="00B70D6E" w:rsidRDefault="00B70D6E" w:rsidP="00B70D6E">
      <w:pPr>
        <w:pStyle w:val="FK"/>
        <w:spacing w:after="0" w:line="360" w:lineRule="auto"/>
        <w:ind w:left="-426" w:right="-477"/>
        <w:jc w:val="center"/>
        <w:rPr>
          <w:rFonts w:ascii="Eurobank Sans" w:hAnsi="Eurobank Sans" w:cs="Arial"/>
          <w:b/>
          <w:sz w:val="36"/>
          <w:szCs w:val="32"/>
        </w:rPr>
      </w:pPr>
    </w:p>
    <w:p w14:paraId="10720ED3" w14:textId="77777777" w:rsidR="00B70D6E" w:rsidRPr="00080A36" w:rsidRDefault="00B70D6E" w:rsidP="00B70D6E">
      <w:pPr>
        <w:pStyle w:val="FK"/>
        <w:spacing w:after="0" w:line="360" w:lineRule="auto"/>
        <w:ind w:left="-426" w:right="-477"/>
        <w:jc w:val="center"/>
        <w:rPr>
          <w:rFonts w:ascii="Eurobank Sans" w:hAnsi="Eurobank Sans" w:cs="Arial"/>
          <w:b/>
          <w:sz w:val="36"/>
          <w:szCs w:val="32"/>
        </w:rPr>
      </w:pPr>
    </w:p>
    <w:p w14:paraId="02AF6642" w14:textId="77777777" w:rsidR="00B70D6E" w:rsidRPr="008D226D" w:rsidRDefault="00B70D6E" w:rsidP="00B70D6E">
      <w:pPr>
        <w:pStyle w:val="FK"/>
        <w:spacing w:after="0" w:line="360" w:lineRule="auto"/>
        <w:ind w:left="-426" w:right="-477"/>
        <w:jc w:val="center"/>
        <w:rPr>
          <w:rFonts w:ascii="Eurobank Sans" w:hAnsi="Eurobank Sans" w:cs="Arial"/>
          <w:b/>
          <w:color w:val="021342"/>
          <w:sz w:val="32"/>
          <w:szCs w:val="32"/>
        </w:rPr>
      </w:pPr>
      <w:r w:rsidRPr="008D226D">
        <w:rPr>
          <w:rFonts w:ascii="Eurobank Sans" w:hAnsi="Eurobank Sans" w:cs="Arial"/>
          <w:b/>
          <w:color w:val="021342"/>
          <w:sz w:val="32"/>
          <w:szCs w:val="32"/>
        </w:rPr>
        <w:t>Ομιλία κ. Γεώργιου Ζανιά</w:t>
      </w:r>
    </w:p>
    <w:p w14:paraId="1DF2AEE5" w14:textId="77777777" w:rsidR="00B70D6E" w:rsidRPr="008D226D" w:rsidRDefault="00B70D6E" w:rsidP="00B70D6E">
      <w:pPr>
        <w:pStyle w:val="FK"/>
        <w:spacing w:after="0" w:line="360" w:lineRule="auto"/>
        <w:ind w:left="-426" w:right="-477"/>
        <w:jc w:val="center"/>
        <w:rPr>
          <w:rFonts w:ascii="Eurobank Sans" w:hAnsi="Eurobank Sans" w:cs="Arial"/>
          <w:b/>
          <w:color w:val="021342"/>
          <w:sz w:val="32"/>
          <w:szCs w:val="32"/>
        </w:rPr>
      </w:pPr>
      <w:r w:rsidRPr="008D226D">
        <w:rPr>
          <w:rFonts w:ascii="Eurobank Sans" w:hAnsi="Eurobank Sans" w:cs="Arial"/>
          <w:b/>
          <w:color w:val="021342"/>
          <w:sz w:val="32"/>
          <w:szCs w:val="32"/>
        </w:rPr>
        <w:t>Προέδρου Δ.Σ.</w:t>
      </w:r>
    </w:p>
    <w:p w14:paraId="022C5486" w14:textId="77777777" w:rsidR="00B70D6E" w:rsidRPr="008D226D" w:rsidRDefault="00B70D6E" w:rsidP="00B70D6E">
      <w:pPr>
        <w:pStyle w:val="FK"/>
        <w:spacing w:line="360" w:lineRule="auto"/>
        <w:ind w:left="-426" w:right="-477"/>
        <w:jc w:val="center"/>
        <w:rPr>
          <w:rFonts w:ascii="Eurobank Sans" w:hAnsi="Eurobank Sans" w:cs="Arial"/>
          <w:b/>
          <w:color w:val="021342"/>
          <w:sz w:val="32"/>
          <w:szCs w:val="32"/>
        </w:rPr>
      </w:pPr>
    </w:p>
    <w:p w14:paraId="79B34E2D" w14:textId="77777777" w:rsidR="00B70D6E" w:rsidRPr="008D226D" w:rsidRDefault="00B70D6E" w:rsidP="00B70D6E">
      <w:pPr>
        <w:pStyle w:val="FK"/>
        <w:spacing w:line="360" w:lineRule="auto"/>
        <w:ind w:left="-426" w:right="-477"/>
        <w:jc w:val="center"/>
        <w:rPr>
          <w:rFonts w:ascii="Eurobank Sans" w:hAnsi="Eurobank Sans" w:cs="Arial"/>
          <w:b/>
          <w:color w:val="021342"/>
          <w:sz w:val="32"/>
          <w:szCs w:val="32"/>
        </w:rPr>
      </w:pPr>
    </w:p>
    <w:p w14:paraId="6ECB08B6" w14:textId="77777777" w:rsidR="00B70D6E" w:rsidRPr="008D226D" w:rsidRDefault="00B70D6E" w:rsidP="00B70D6E">
      <w:pPr>
        <w:pStyle w:val="FK"/>
        <w:spacing w:line="360" w:lineRule="auto"/>
        <w:ind w:left="-426" w:right="-477"/>
        <w:jc w:val="center"/>
        <w:rPr>
          <w:rFonts w:ascii="Eurobank Sans" w:hAnsi="Eurobank Sans" w:cs="Arial"/>
          <w:b/>
          <w:color w:val="021342"/>
          <w:sz w:val="32"/>
          <w:szCs w:val="32"/>
        </w:rPr>
      </w:pPr>
    </w:p>
    <w:p w14:paraId="7E1A2254" w14:textId="77777777" w:rsidR="00B70D6E" w:rsidRPr="008D226D" w:rsidRDefault="00B70D6E" w:rsidP="00B70D6E">
      <w:pPr>
        <w:pStyle w:val="Default"/>
        <w:spacing w:line="360" w:lineRule="auto"/>
        <w:ind w:left="-426" w:right="-477"/>
        <w:jc w:val="center"/>
        <w:rPr>
          <w:rFonts w:cs="Arial"/>
          <w:b/>
          <w:color w:val="021342"/>
          <w:sz w:val="32"/>
          <w:szCs w:val="32"/>
        </w:rPr>
      </w:pPr>
    </w:p>
    <w:p w14:paraId="4BA3E63A" w14:textId="77777777" w:rsidR="00B70D6E" w:rsidRPr="008D226D" w:rsidRDefault="00B70D6E" w:rsidP="00B70D6E">
      <w:pPr>
        <w:pStyle w:val="FK"/>
        <w:spacing w:line="240" w:lineRule="auto"/>
        <w:ind w:left="-426" w:right="-477"/>
        <w:jc w:val="center"/>
        <w:rPr>
          <w:rFonts w:ascii="Eurobank Sans" w:eastAsiaTheme="minorHAnsi" w:hAnsi="Eurobank Sans" w:cs="Arial"/>
          <w:b/>
          <w:color w:val="021342"/>
          <w:sz w:val="32"/>
          <w:szCs w:val="32"/>
          <w:bdr w:val="none" w:sz="0" w:space="0" w:color="auto"/>
          <w:lang w:eastAsia="en-US"/>
        </w:rPr>
      </w:pPr>
      <w:r w:rsidRPr="008D226D">
        <w:rPr>
          <w:rFonts w:ascii="Eurobank Sans" w:eastAsiaTheme="minorHAnsi" w:hAnsi="Eurobank Sans" w:cs="Arial"/>
          <w:b/>
          <w:color w:val="021342"/>
          <w:sz w:val="32"/>
          <w:szCs w:val="32"/>
          <w:bdr w:val="none" w:sz="0" w:space="0" w:color="auto"/>
          <w:lang w:eastAsia="en-US"/>
        </w:rPr>
        <w:t xml:space="preserve">Τακτική Γενική Συνέλευση </w:t>
      </w:r>
    </w:p>
    <w:p w14:paraId="69C426B2" w14:textId="77777777" w:rsidR="00B70D6E" w:rsidRPr="008D226D" w:rsidRDefault="00B70D6E" w:rsidP="00B70D6E">
      <w:pPr>
        <w:pStyle w:val="FK"/>
        <w:spacing w:line="240" w:lineRule="auto"/>
        <w:ind w:left="-426" w:right="-477"/>
        <w:jc w:val="center"/>
        <w:rPr>
          <w:rFonts w:ascii="Eurobank Sans" w:hAnsi="Eurobank Sans" w:cs="Arial"/>
          <w:b/>
          <w:color w:val="021342"/>
        </w:rPr>
      </w:pPr>
      <w:r w:rsidRPr="008D226D">
        <w:rPr>
          <w:rFonts w:ascii="Eurobank Sans" w:eastAsiaTheme="minorHAnsi" w:hAnsi="Eurobank Sans" w:cs="Arial"/>
          <w:b/>
          <w:color w:val="021342"/>
          <w:sz w:val="32"/>
          <w:szCs w:val="32"/>
          <w:bdr w:val="none" w:sz="0" w:space="0" w:color="auto"/>
          <w:lang w:val="en-US" w:eastAsia="en-US"/>
        </w:rPr>
        <w:t>Eurobank</w:t>
      </w:r>
      <w:r w:rsidRPr="008D226D">
        <w:rPr>
          <w:rFonts w:ascii="Eurobank Sans" w:eastAsiaTheme="minorHAnsi" w:hAnsi="Eurobank Sans" w:cs="Arial"/>
          <w:b/>
          <w:color w:val="021342"/>
          <w:sz w:val="32"/>
          <w:szCs w:val="32"/>
          <w:bdr w:val="none" w:sz="0" w:space="0" w:color="auto"/>
          <w:lang w:eastAsia="en-US"/>
        </w:rPr>
        <w:t xml:space="preserve"> </w:t>
      </w:r>
      <w:r w:rsidRPr="008D226D">
        <w:rPr>
          <w:rFonts w:ascii="Eurobank Sans" w:eastAsiaTheme="minorHAnsi" w:hAnsi="Eurobank Sans" w:cs="Arial"/>
          <w:b/>
          <w:color w:val="021342"/>
          <w:sz w:val="32"/>
          <w:szCs w:val="32"/>
          <w:bdr w:val="none" w:sz="0" w:space="0" w:color="auto"/>
          <w:lang w:val="en-US" w:eastAsia="en-US"/>
        </w:rPr>
        <w:t>Holdings</w:t>
      </w:r>
      <w:r w:rsidRPr="008D226D">
        <w:rPr>
          <w:rFonts w:ascii="Eurobank Sans" w:eastAsiaTheme="minorHAnsi" w:hAnsi="Eurobank Sans" w:cs="Arial"/>
          <w:b/>
          <w:color w:val="021342"/>
          <w:sz w:val="32"/>
          <w:szCs w:val="32"/>
          <w:bdr w:val="none" w:sz="0" w:space="0" w:color="auto"/>
          <w:lang w:eastAsia="en-US"/>
        </w:rPr>
        <w:t xml:space="preserve"> </w:t>
      </w:r>
      <w:r w:rsidRPr="008D226D">
        <w:rPr>
          <w:rFonts w:ascii="Eurobank Sans" w:eastAsiaTheme="minorHAnsi" w:hAnsi="Eurobank Sans" w:cs="Arial"/>
          <w:b/>
          <w:color w:val="021342"/>
          <w:sz w:val="32"/>
          <w:szCs w:val="32"/>
          <w:bdr w:val="none" w:sz="0" w:space="0" w:color="auto"/>
          <w:lang w:val="en-US" w:eastAsia="en-US"/>
        </w:rPr>
        <w:t>A</w:t>
      </w:r>
      <w:r w:rsidRPr="008D226D">
        <w:rPr>
          <w:rFonts w:ascii="Eurobank Sans" w:eastAsiaTheme="minorHAnsi" w:hAnsi="Eurobank Sans" w:cs="Arial"/>
          <w:b/>
          <w:color w:val="021342"/>
          <w:sz w:val="32"/>
          <w:szCs w:val="32"/>
          <w:bdr w:val="none" w:sz="0" w:space="0" w:color="auto"/>
          <w:lang w:eastAsia="en-US"/>
        </w:rPr>
        <w:t>.</w:t>
      </w:r>
      <w:r w:rsidRPr="008D226D">
        <w:rPr>
          <w:rFonts w:ascii="Eurobank Sans" w:eastAsiaTheme="minorHAnsi" w:hAnsi="Eurobank Sans" w:cs="Arial"/>
          <w:b/>
          <w:color w:val="021342"/>
          <w:sz w:val="32"/>
          <w:szCs w:val="32"/>
          <w:bdr w:val="none" w:sz="0" w:space="0" w:color="auto"/>
          <w:lang w:val="en-US" w:eastAsia="en-US"/>
        </w:rPr>
        <w:t>E</w:t>
      </w:r>
      <w:r w:rsidRPr="008D226D">
        <w:rPr>
          <w:rFonts w:ascii="Eurobank Sans" w:eastAsiaTheme="minorHAnsi" w:hAnsi="Eurobank Sans" w:cs="Arial"/>
          <w:b/>
          <w:color w:val="021342"/>
          <w:sz w:val="32"/>
          <w:szCs w:val="32"/>
          <w:bdr w:val="none" w:sz="0" w:space="0" w:color="auto"/>
          <w:lang w:eastAsia="en-US"/>
        </w:rPr>
        <w:t>.</w:t>
      </w:r>
    </w:p>
    <w:p w14:paraId="250D5C86" w14:textId="77777777" w:rsidR="00B70D6E" w:rsidRPr="008D226D" w:rsidRDefault="00B70D6E" w:rsidP="00B70D6E">
      <w:pPr>
        <w:pStyle w:val="FK"/>
        <w:spacing w:line="240" w:lineRule="auto"/>
        <w:ind w:left="-426" w:right="-477"/>
        <w:jc w:val="center"/>
        <w:rPr>
          <w:rFonts w:ascii="Eurobank Sans" w:hAnsi="Eurobank Sans" w:cs="Arial"/>
          <w:b/>
          <w:color w:val="021342"/>
        </w:rPr>
      </w:pPr>
    </w:p>
    <w:p w14:paraId="0CA33CB3" w14:textId="77777777" w:rsidR="00B70D6E" w:rsidRPr="008D226D" w:rsidRDefault="00B70D6E" w:rsidP="00B70D6E">
      <w:pPr>
        <w:pStyle w:val="FK"/>
        <w:spacing w:line="240" w:lineRule="auto"/>
        <w:ind w:left="-426" w:right="-477"/>
        <w:jc w:val="center"/>
        <w:rPr>
          <w:rFonts w:ascii="Eurobank Sans" w:hAnsi="Eurobank Sans" w:cs="Arial"/>
          <w:b/>
          <w:color w:val="021342"/>
        </w:rPr>
      </w:pPr>
    </w:p>
    <w:p w14:paraId="6D5C6575" w14:textId="77777777" w:rsidR="00B70D6E" w:rsidRPr="008D226D" w:rsidRDefault="00B70D6E" w:rsidP="00B70D6E">
      <w:pPr>
        <w:pStyle w:val="FK"/>
        <w:spacing w:line="240" w:lineRule="auto"/>
        <w:ind w:left="-426" w:right="-477"/>
        <w:rPr>
          <w:rFonts w:ascii="Eurobank Sans" w:hAnsi="Eurobank Sans" w:cs="Arial"/>
          <w:b/>
          <w:color w:val="021342"/>
        </w:rPr>
      </w:pPr>
    </w:p>
    <w:p w14:paraId="0CAD2FD2" w14:textId="77777777" w:rsidR="00B70D6E" w:rsidRPr="008D226D" w:rsidRDefault="00B70D6E" w:rsidP="00B70D6E">
      <w:pPr>
        <w:pStyle w:val="FK"/>
        <w:spacing w:line="240" w:lineRule="auto"/>
        <w:ind w:left="-426" w:right="-477"/>
        <w:rPr>
          <w:rFonts w:ascii="Eurobank Sans" w:hAnsi="Eurobank Sans" w:cs="Arial"/>
          <w:b/>
          <w:color w:val="021342"/>
        </w:rPr>
      </w:pPr>
    </w:p>
    <w:p w14:paraId="6B103792" w14:textId="628FC6C4" w:rsidR="00B70D6E" w:rsidRPr="008D226D" w:rsidRDefault="00B70D6E" w:rsidP="00B70D6E">
      <w:pPr>
        <w:pStyle w:val="FK"/>
        <w:spacing w:line="240" w:lineRule="auto"/>
        <w:ind w:left="-426" w:right="-477"/>
        <w:jc w:val="center"/>
        <w:rPr>
          <w:rFonts w:ascii="Eurobank Sans" w:hAnsi="Eurobank Sans" w:cs="Arial"/>
          <w:b/>
          <w:color w:val="021342"/>
        </w:rPr>
      </w:pPr>
      <w:r>
        <w:rPr>
          <w:rFonts w:ascii="Eurobank Sans" w:hAnsi="Eurobank Sans" w:cs="Arial"/>
          <w:b/>
          <w:color w:val="021342"/>
        </w:rPr>
        <w:t>Τρίτη, 23 Ιουλίου 2024</w:t>
      </w:r>
    </w:p>
    <w:p w14:paraId="6830C34A" w14:textId="77777777" w:rsidR="00B70D6E" w:rsidRPr="008D226D" w:rsidRDefault="00B70D6E" w:rsidP="00B70D6E">
      <w:pPr>
        <w:ind w:left="-426" w:right="-477"/>
        <w:jc w:val="both"/>
        <w:rPr>
          <w:rFonts w:ascii="Eurobank Sans" w:hAnsi="Eurobank Sans"/>
          <w:color w:val="021342"/>
          <w:sz w:val="28"/>
          <w:szCs w:val="28"/>
          <w:lang w:val="el-GR"/>
        </w:rPr>
      </w:pPr>
    </w:p>
    <w:p w14:paraId="31C0D369" w14:textId="77777777" w:rsidR="00B70D6E" w:rsidRPr="008D226D" w:rsidRDefault="00B70D6E" w:rsidP="00B70D6E">
      <w:pPr>
        <w:ind w:left="-426" w:right="-477"/>
        <w:jc w:val="both"/>
        <w:rPr>
          <w:rFonts w:ascii="Eurobank Sans" w:hAnsi="Eurobank Sans"/>
          <w:color w:val="021342"/>
          <w:sz w:val="28"/>
          <w:szCs w:val="28"/>
          <w:lang w:val="el-GR"/>
        </w:rPr>
      </w:pPr>
    </w:p>
    <w:p w14:paraId="4D7B41B4" w14:textId="77777777" w:rsidR="00B70D6E" w:rsidRPr="008D226D" w:rsidRDefault="00B70D6E" w:rsidP="00B70D6E">
      <w:pPr>
        <w:spacing w:line="360" w:lineRule="auto"/>
        <w:ind w:left="-426" w:right="-477"/>
        <w:jc w:val="both"/>
        <w:rPr>
          <w:rFonts w:ascii="Eurobank Sans" w:hAnsi="Eurobank Sans" w:cs="Arial"/>
          <w:b/>
          <w:bCs/>
          <w:color w:val="021342"/>
          <w:sz w:val="24"/>
          <w:szCs w:val="24"/>
          <w:lang w:val="el-GR"/>
        </w:rPr>
      </w:pPr>
      <w:r w:rsidRPr="008D226D">
        <w:rPr>
          <w:rFonts w:ascii="Eurobank Sans" w:hAnsi="Eurobank Sans"/>
          <w:color w:val="021342"/>
          <w:sz w:val="28"/>
          <w:szCs w:val="28"/>
          <w:lang w:val="el-GR"/>
        </w:rPr>
        <w:br w:type="page"/>
      </w:r>
    </w:p>
    <w:p w14:paraId="0C947913" w14:textId="77777777" w:rsidR="00B70D6E" w:rsidRPr="008D226D" w:rsidRDefault="00B70D6E" w:rsidP="00B70D6E">
      <w:pPr>
        <w:spacing w:line="360" w:lineRule="auto"/>
        <w:ind w:left="-426" w:right="-477"/>
        <w:jc w:val="both"/>
        <w:rPr>
          <w:rFonts w:ascii="Eurobank Sans" w:hAnsi="Eurobank Sans" w:cs="Arial"/>
          <w:color w:val="021342"/>
          <w:sz w:val="24"/>
          <w:szCs w:val="24"/>
          <w:lang w:val="el-GR"/>
        </w:rPr>
      </w:pPr>
    </w:p>
    <w:p w14:paraId="36F589D9" w14:textId="77777777" w:rsidR="00B70D6E" w:rsidRPr="008D226D" w:rsidRDefault="00B70D6E" w:rsidP="00B70D6E">
      <w:pPr>
        <w:spacing w:line="360" w:lineRule="auto"/>
        <w:ind w:left="-426" w:right="-477"/>
        <w:jc w:val="both"/>
        <w:rPr>
          <w:rFonts w:ascii="Eurobank Sans" w:hAnsi="Eurobank Sans" w:cs="Arial"/>
          <w:color w:val="021342"/>
          <w:lang w:val="el-GR"/>
        </w:rPr>
      </w:pPr>
      <w:r w:rsidRPr="008D226D">
        <w:rPr>
          <w:rFonts w:ascii="Eurobank Sans" w:hAnsi="Eurobank Sans" w:cs="Arial"/>
          <w:color w:val="021342"/>
          <w:lang w:val="el-GR"/>
        </w:rPr>
        <w:t>Κύριες και κύριοι Μέτοχοι,</w:t>
      </w:r>
    </w:p>
    <w:p w14:paraId="2DB52148" w14:textId="77777777" w:rsidR="00B70D6E" w:rsidRPr="00B70D6E" w:rsidRDefault="00B70D6E" w:rsidP="00B70D6E">
      <w:pPr>
        <w:spacing w:line="360" w:lineRule="auto"/>
        <w:ind w:left="-426" w:right="-477"/>
        <w:jc w:val="both"/>
        <w:rPr>
          <w:rFonts w:ascii="Eurobank Sans" w:hAnsi="Eurobank Sans" w:cs="Arial"/>
          <w:color w:val="021342"/>
          <w:lang w:val="el-GR"/>
        </w:rPr>
      </w:pPr>
    </w:p>
    <w:p w14:paraId="18CA8F2A" w14:textId="77777777" w:rsidR="00B70D6E" w:rsidRPr="00B70D6E" w:rsidRDefault="00B70D6E" w:rsidP="00B70D6E">
      <w:pPr>
        <w:spacing w:line="360" w:lineRule="auto"/>
        <w:ind w:left="-426" w:right="-477"/>
        <w:jc w:val="both"/>
        <w:rPr>
          <w:rFonts w:ascii="Eurobank Sans" w:hAnsi="Eurobank Sans" w:cs="Arial"/>
          <w:color w:val="021342"/>
          <w:lang w:val="el-GR"/>
        </w:rPr>
      </w:pPr>
      <w:proofErr w:type="spellStart"/>
      <w:r w:rsidRPr="00B70D6E">
        <w:rPr>
          <w:rFonts w:ascii="Eurobank Sans" w:hAnsi="Eurobank Sans" w:cs="Arial"/>
          <w:color w:val="021342"/>
          <w:lang w:val="el-GR"/>
        </w:rPr>
        <w:t>Tο</w:t>
      </w:r>
      <w:proofErr w:type="spellEnd"/>
      <w:r w:rsidRPr="00B70D6E">
        <w:rPr>
          <w:rFonts w:ascii="Eurobank Sans" w:hAnsi="Eurobank Sans" w:cs="Arial"/>
          <w:color w:val="021342"/>
          <w:lang w:val="el-GR"/>
        </w:rPr>
        <w:t xml:space="preserve"> 2023 ήταν ένα ακόμα έτος μεγάλων προκλήσεων και κινδύνων, με την παγκόσμια οικονομία όμως ν’ αποδεικνύεται τελικά πιο ανθεκτική απ’ όσο αρχικά αναμενόταν. Οι μεγάλες κεντρικές τράπεζες συνέχισαν την πολιτική αύξησης των επιτοκίων που ξεκίνησαν το 2022 για την αντιμετώπιση του υψηλού πληθωρισμού. Το τραπεζικό σύστημα στις ΗΠΑ κλυδωνίστηκε από την κατάρρευση τριών περιφερειακών τραπεζών. Παράλληλα, κι ενώ ο πόλεμος στην Ουκρανία συνεχιζόταν,  το ξέσπασμα της σύγκρουσης του Ισραήλ με την </w:t>
      </w:r>
      <w:proofErr w:type="spellStart"/>
      <w:r w:rsidRPr="00B70D6E">
        <w:rPr>
          <w:rFonts w:ascii="Eurobank Sans" w:hAnsi="Eurobank Sans" w:cs="Arial"/>
          <w:color w:val="021342"/>
          <w:lang w:val="el-GR"/>
        </w:rPr>
        <w:t>Χαμάς</w:t>
      </w:r>
      <w:proofErr w:type="spellEnd"/>
      <w:r w:rsidRPr="00B70D6E">
        <w:rPr>
          <w:rFonts w:ascii="Eurobank Sans" w:hAnsi="Eurobank Sans" w:cs="Arial"/>
          <w:color w:val="021342"/>
          <w:lang w:val="el-GR"/>
        </w:rPr>
        <w:t xml:space="preserve"> δημιούργησε έντονες ανησυχίες για εξάπλωση του πολέμου σε όλη τη Μέση Ανατολή. Παρά ταύτα, ο ρυθμός μεγέθυνσης της παγκόσμιας οικονομίας για το σύνολο του έτους διαμορφώθηκε σε σχετικά ικανοποιητικά επίπεδα, ιδίως στις ΗΠΑ, διαψεύδοντας αρχικές εκτιμήσεις. </w:t>
      </w:r>
    </w:p>
    <w:p w14:paraId="2DE30717"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Έχοντας διανύσει ήδη το πρώτο μισό του 2024, τα στοιχεία δείχνουν ότι  αυτή η ανθεκτικότητα στην παγκόσμια οικονομία συνεχίζεται ενώ οι πληθωριστικές πιέσεις έχουν υποχωρήσει σημαντικά. Η διατήρηση όμως υψηλών τιμών στον τομέα των υπηρεσιών, ως αποτέλεσμα συμπιεσμένης ζήτησης, επιδοματικών ενισχύσεων αλλά και ανατροφοδότησης από τους μισθούς, ωθεί τις κεντρικές τράπεζες (</w:t>
      </w:r>
      <w:proofErr w:type="spellStart"/>
      <w:r w:rsidRPr="00B70D6E">
        <w:rPr>
          <w:rFonts w:ascii="Eurobank Sans" w:hAnsi="Eurobank Sans" w:cs="Arial"/>
          <w:color w:val="021342"/>
          <w:lang w:val="el-GR"/>
        </w:rPr>
        <w:t>Fed</w:t>
      </w:r>
      <w:proofErr w:type="spellEnd"/>
      <w:r w:rsidRPr="00B70D6E">
        <w:rPr>
          <w:rFonts w:ascii="Eurobank Sans" w:hAnsi="Eurobank Sans" w:cs="Arial"/>
          <w:color w:val="021342"/>
          <w:lang w:val="el-GR"/>
        </w:rPr>
        <w:t xml:space="preserve"> και EKT) να επιβραδύνουν την χαλάρωση της νομισματικής πολιτικής.</w:t>
      </w:r>
    </w:p>
    <w:p w14:paraId="7993C61C"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 xml:space="preserve">Παρά το συνεχιζόμενα δυσμενές διεθνές περιβάλλον, η ελληνική οικονομία παρουσίασε ανθεκτικότητα και το 2023 και συνέχισε να </w:t>
      </w:r>
      <w:proofErr w:type="spellStart"/>
      <w:r w:rsidRPr="00B70D6E">
        <w:rPr>
          <w:rFonts w:ascii="Eurobank Sans" w:hAnsi="Eurobank Sans" w:cs="Arial"/>
          <w:color w:val="021342"/>
          <w:lang w:val="el-GR"/>
        </w:rPr>
        <w:t>υπεραποδίδει</w:t>
      </w:r>
      <w:proofErr w:type="spellEnd"/>
      <w:r w:rsidRPr="00B70D6E">
        <w:rPr>
          <w:rFonts w:ascii="Eurobank Sans" w:hAnsi="Eurobank Sans" w:cs="Arial"/>
          <w:color w:val="021342"/>
          <w:lang w:val="el-GR"/>
        </w:rPr>
        <w:t xml:space="preserve"> συγκριτικά με την Ευρωζώνη. Το 2023 «έτρεξε» για τρίτη συνεχόμενη χρονιά πιο γρήγορα από την Ευρωζώνη, πετυχαίνοντας πραγματικό ρυθμό μεγέθυνσης 2,0%, έναντι 0,4% στην Ευρωζώνη, αλλά και υψηλότερο από τον δυνητικό μακροπρόθεσμο πραγματικό ρυθμό ανάπτυξης της χώρας. Η άνοδος των ονομαστικών μισθών, οι πόροι του Ταμείου Ανθεκτικότητας και Ανάπτυξης, τα μέτρα στήριξης της Κυβέρνησης και η καλή πορεία του τουρισμού ενίσχυσαν την εγχώρια ζήτηση, ενώ θετικά συνεισέφεραν επίσης οι εξαγωγές υπηρεσιών και οι επενδύσεις, κυρίως σε κατασκευές. Παράλληλα, το 2023 η χώρα μας επέστρεψε σε ικανοποιητικά πρωτογενή πλεονάσματα (1,9%), μείωσε ικανοποιητικά το δημόσιο χρέος ως ποσοστό του ΑΕΠ (κατά 10,8 ποσοστιαίες μονάδες) και επέστρεψε στην επενδυτική βαθμίδα από 4 από τους 5 αποδεκτούς από το </w:t>
      </w:r>
      <w:proofErr w:type="spellStart"/>
      <w:r w:rsidRPr="00B70D6E">
        <w:rPr>
          <w:rFonts w:ascii="Eurobank Sans" w:hAnsi="Eurobank Sans" w:cs="Arial"/>
          <w:color w:val="021342"/>
          <w:lang w:val="el-GR"/>
        </w:rPr>
        <w:t>Ευρωσύστημα</w:t>
      </w:r>
      <w:proofErr w:type="spellEnd"/>
      <w:r w:rsidRPr="00B70D6E">
        <w:rPr>
          <w:rFonts w:ascii="Eurobank Sans" w:hAnsi="Eurobank Sans" w:cs="Arial"/>
          <w:color w:val="021342"/>
          <w:lang w:val="el-GR"/>
        </w:rPr>
        <w:t xml:space="preserve"> Οίκους Αξιολόγησης. Για το 2024 και 2025 η Ευρωπαϊκή Επιτροπή προβλέπει για την Ελλάδα ρυθμούς ανάπτυξης 2,2% και 2,3% αντίστοιχα, σημαντικά υψηλότερα από το 0,7% και 1,4% που προβλέπεται για την Ευρωζώνη. </w:t>
      </w:r>
    </w:p>
    <w:p w14:paraId="35240853"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lastRenderedPageBreak/>
        <w:t xml:space="preserve">Το πρόβλημα του πληθωρισμού βελτιώνεται συνεχώς φτάνοντας στο 2,3% τον Ιούνιο του 24. Η ανεργία επιμένει σε διψήφια ποσοστά σε μια περίοδο κατά την οποία πολλοί κλάδοι της οικονομίας αναφέρουν δυσκολία εύρεσης προσωπικού, αντανακλώντας μια </w:t>
      </w:r>
      <w:proofErr w:type="spellStart"/>
      <w:r w:rsidRPr="00B70D6E">
        <w:rPr>
          <w:rFonts w:ascii="Eurobank Sans" w:hAnsi="Eurobank Sans" w:cs="Arial"/>
          <w:color w:val="021342"/>
          <w:lang w:val="el-GR"/>
        </w:rPr>
        <w:t>δομικότερη</w:t>
      </w:r>
      <w:proofErr w:type="spellEnd"/>
      <w:r w:rsidRPr="00B70D6E">
        <w:rPr>
          <w:rFonts w:ascii="Eurobank Sans" w:hAnsi="Eurobank Sans" w:cs="Arial"/>
          <w:color w:val="021342"/>
          <w:lang w:val="el-GR"/>
        </w:rPr>
        <w:t xml:space="preserve"> αναντιστοιχία μεταξύ προσφερόμενων και ζητούμενων προσόντων στην αγορά εργασίας.</w:t>
      </w:r>
    </w:p>
    <w:p w14:paraId="42601E36"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 xml:space="preserve">Με αυτές τις εξελίξεις η χώρα έφτασε να δανείζεται φτηνότερα από την Ιταλία, με το </w:t>
      </w:r>
      <w:proofErr w:type="spellStart"/>
      <w:r w:rsidRPr="00B70D6E">
        <w:rPr>
          <w:rFonts w:ascii="Eurobank Sans" w:hAnsi="Eurobank Sans" w:cs="Arial"/>
          <w:color w:val="021342"/>
          <w:lang w:val="el-GR"/>
        </w:rPr>
        <w:t>σπρεντ</w:t>
      </w:r>
      <w:proofErr w:type="spellEnd"/>
      <w:r w:rsidRPr="00B70D6E">
        <w:rPr>
          <w:rFonts w:ascii="Eurobank Sans" w:hAnsi="Eurobank Sans" w:cs="Arial"/>
          <w:color w:val="021342"/>
          <w:lang w:val="el-GR"/>
        </w:rPr>
        <w:t xml:space="preserve">  του δεκαετούς ομολόγου να βρίσκεται περίπου στις εκατό μονάδες βάσης πάνω από το αντίστοιχο γερμανικό ομόλογο. Δηλαδή, σχετικά κοντά στα προ κρίσης επίπεδα.</w:t>
      </w:r>
    </w:p>
    <w:p w14:paraId="7C73D115"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Η ελληνική οικονομία ακολουθεί πλέον μια διαδρομή, η οποία αποσπά πολύ θετικά σχόλια από διεθνείς παρατηρητές. Κοιτάζοντας μπροστά, οι ευρωπαϊκοί πόροι και ιδίως η χρηματοδότηση μέσω του Ταμείου Ανάκαμψης και Ανθεκτικότητας (ΤΑΑ) αναμένεται να έχουν αυξημένη συμβολή στην ανάπτυξη την επόμενη τριετία, ενώ ήδη ξεκίνησε η αντιστροφή της συσταλτικής νομισματικής πολιτικής από την ΕΚΤ, η οποία όμως δεν αναμένεται να κινηθεί όσο γρήγορα αναμενόταν προηγουμένως, κατά το επόμενο διάστημα.</w:t>
      </w:r>
    </w:p>
    <w:p w14:paraId="0229202C"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Τα καλά νέα για την απόδοση της ελληνικής οικονομίας συμβαδίζουν όμως με κάποια διαρθρωτικά προβλήματα που επιμένουν και χρήζουν αντιμετώπισης μέσω της υλοποίησης των κατάλληλων μεταρρυθμίσεων. Σε αυτά, περιλαμβάνεται ο «πρωταθλητισμός» της χώρας μας στην κατανάλωση, ως ποσοστού του ΑΕΠ, η χαμηλή συμμετοχή των επενδύσεων στο ΑΕΠ και η διατήρηση σχετικά υψηλών τιμών στο έλλειμμα του ισοζυγίου τρεχουσών συναλλαγών (6,3% το 2023) παρά τη μείωση των τιμών της ενέργειας. Μάλιστα, η αναμενόμενη αύξηση της συμμετοχής των επενδύσεων στο ΑΕΠ αναμένεται να λειτουργήσει επιβαρυντικά στο έλλειμα του ισοζυγίου τρεχουσών συναλλαγών καθόσον σημαντικό τμήμα των επενδυτικών προϊόντων εισάγεται. Η ανάκαμψη βέβαια της ανάπτυξης στην Ευρωπαϊκή Ένωση αναμένεται να βοηθήσει τις εξαγωγές.</w:t>
      </w:r>
    </w:p>
    <w:p w14:paraId="7EC3F01A"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Παράλληλα, σημαντικοί διεθνείς κίνδυνοι περιβάλλουν τις μεσοπρόθεσμες προβλέψεις. Εκτός από μια πιθανή επιμονή του πληθωρισμού, μια νέα όξυνση των γεωπολιτικών κινδύνων ενδεχομένως διαταράξει τις αγορές ενέργειας και τις διεθνείς χρηματοπιστωτικές αγορές, ενώ τα αποτελέσματα σε σημαντικές εκλογικές αναμετρήσεις τους επόμενους μήνες, κυρίως στις ΗΠΑ, θα μπορούσαν να έχουν σημαντικές επιπτώσεις στο παγκόσμιο εμπόριο και γενικότερα την πορεία της παγκόσμιας οικονομίας.</w:t>
      </w:r>
    </w:p>
    <w:p w14:paraId="3DDF1786"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 xml:space="preserve">Πολύ καλές είναι οι επιδόσεις και στις άλλες δύο οικονομίες στις οποίες λειτουργεί η Eurobank, δηλαδή την Κύπρο και τη Βουλγαρία. Και στις δύο χώρες, τα δημόσια οικονομικά βρίσκονται σε εξαιρετική κατάσταση, η ανάπτυξη το 2023 ήταν γρήγορη (2,5% στην Κύπρο και 1,8% στη Βουλγαρία), ενώ η </w:t>
      </w:r>
      <w:r w:rsidRPr="00B70D6E">
        <w:rPr>
          <w:rFonts w:ascii="Eurobank Sans" w:hAnsi="Eurobank Sans" w:cs="Arial"/>
          <w:color w:val="021342"/>
          <w:lang w:val="el-GR"/>
        </w:rPr>
        <w:lastRenderedPageBreak/>
        <w:t>ανάπτυξη στην Κύπρο επιταχύνθηκε στο 3,4% κατά το πρώτο τρίμηνο του 2024. Και οι δύο χώρες αξιολογούνται σε επίπεδα λίγο παραπάνω από την επενδυτική βαθμίδα ενώ το πρόβλημα του πληθωρισμού που υπήρχε στη Βουλγαρία βελτιώνεται συνεχώς αυξάνοντας τις ενδείξεις πως θα είναι η επόμενη χώρα που θα ενταχθεί στην Ευρωζώνη.</w:t>
      </w:r>
    </w:p>
    <w:p w14:paraId="329646D3"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Παράλληλες είναι οι εξελίξεις στις ελληνικές τράπεζες, οι οποίες είναι σε πολύ καλύτερη θέση σε σχέση με το παρελθόν, ώστε ν’ αντιμετωπίσουν πιθανές προκλήσεις και να μπορέσουν να χρηματοδοτήσουν τις ανάγκες της οικονομίας και της κοινωνίας. Η εξυγίανση των ισολογισμών των τεσσάρων συστημικών τραπεζών κοντεύει να ολοκληρωθεί διατηρώντας παράλληλα πολύ ψηλά τα επίπεδα κάλυψης των λίγων εναπομεινάντων Μη Εξυπηρετούμενων Ανοιγμάτων.</w:t>
      </w:r>
    </w:p>
    <w:p w14:paraId="4A27C9A5"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 xml:space="preserve">Σε όρους κεφαλαίων, οι ελληνικές τράπεζες βρίσκονται πλέον σχεδόν στο μέσο όρο των Ευρωπαϊκών τραπεζών. Η επιστροφή τους στη σχετικά υψηλή οργανική κερδοφορία, που έφτασε τα 3,4 δις ευρώ το 2023, αποτελεί διαρκή πλέον πηγή εσωτερικής δημιουργίας κεφαλαίων. Αξίζει να σημειωθεί ότι μετά από 16 χρόνια, οι 4 συστημικές τράπεζες θα καταβάλουν ξανά μέρισμα στους μετόχους τους με το συνολικό ποσό να διαμορφώνεται σε 875 εκατ. Ευρώ. </w:t>
      </w:r>
    </w:p>
    <w:p w14:paraId="736F933C"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 xml:space="preserve">Σε όρους ρευστότητας οι ελληνικές τράπεζες βρίσκονται σε πολύ καλύτερη θέση από τον αντίστοιχο ευρωπαϊκό μέσο όρο με το Δείκτη Κάλυψης Ρευστότητας (γνωστό και ως LCR) να ανέρχεται στο 220,3%, έναντι 164,4% που βρίσκεται ο ευρωπαϊκός μέσος όρος και με ένα λόγο δανείων προς καταθέσεις στο 58,8%, όταν ο αντίστοιχος ευρωπαϊκός βρίσκεται πολύ ψηλότερα στο 102,7%. Μάλιστα, μια συγκριτική μελέτη που έκανε ο SSM έδειξε πως οι ελληνικές τράπεζες υπερέχουν και σε άλλους δείκτες σε σχέση με το μέσο όρο της Ευρωζώνης. </w:t>
      </w:r>
    </w:p>
    <w:p w14:paraId="1A704BE7"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 xml:space="preserve">Η συνεχιζόμενη βελτίωση των θεμελιωδών μεγεθών και των εποπτικών δεικτών του τραπεζικού τομέα, σε συνδυασμό με την ανάκτηση της επενδυτικής κατηγορίας για την πιστοληπτική αξιολόγηση της Ελλάδος, δημιούργησε μια ευνοϊκή συγκυρία για την υλοποίηση της </w:t>
      </w:r>
      <w:proofErr w:type="spellStart"/>
      <w:r w:rsidRPr="00B70D6E">
        <w:rPr>
          <w:rFonts w:ascii="Eurobank Sans" w:hAnsi="Eurobank Sans" w:cs="Arial"/>
          <w:color w:val="021342"/>
          <w:lang w:val="el-GR"/>
        </w:rPr>
        <w:t>απο</w:t>
      </w:r>
      <w:proofErr w:type="spellEnd"/>
      <w:r w:rsidRPr="00B70D6E">
        <w:rPr>
          <w:rFonts w:ascii="Eurobank Sans" w:hAnsi="Eurobank Sans" w:cs="Arial"/>
          <w:color w:val="021342"/>
          <w:lang w:val="el-GR"/>
        </w:rPr>
        <w:t xml:space="preserve">-επένδυσης του Ταμείου Χρηματοπιστωτικής Σταθερότητας (ΤΧΣ), σηματοδοτώντας την μετάβαση στην κανονικότητα. H Eurobank ήταν η πρώτη τράπεζα από την οποία </w:t>
      </w:r>
      <w:proofErr w:type="spellStart"/>
      <w:r w:rsidRPr="00B70D6E">
        <w:rPr>
          <w:rFonts w:ascii="Eurobank Sans" w:hAnsi="Eurobank Sans" w:cs="Arial"/>
          <w:color w:val="021342"/>
          <w:lang w:val="el-GR"/>
        </w:rPr>
        <w:t>αποεπένδυσε</w:t>
      </w:r>
      <w:proofErr w:type="spellEnd"/>
      <w:r w:rsidRPr="00B70D6E">
        <w:rPr>
          <w:rFonts w:ascii="Eurobank Sans" w:hAnsi="Eurobank Sans" w:cs="Arial"/>
          <w:color w:val="021342"/>
          <w:lang w:val="el-GR"/>
        </w:rPr>
        <w:t xml:space="preserve"> το ΤΧΣ, μέσω της εξαγοράς των ιδίων μετοχών της. </w:t>
      </w:r>
    </w:p>
    <w:p w14:paraId="611C8DFF"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 xml:space="preserve">Κατά το πρώτο εξάμηνο του 2024, η μία μετά την άλλη οι ελληνικές τράπεζες αναβαθμίζονται στην επενδυτική βαθμίδα, με τη Eurobank να ηγείται αυτής της διαδρομής και να αναβαθμίζεται από τη </w:t>
      </w:r>
      <w:proofErr w:type="spellStart"/>
      <w:r w:rsidRPr="00B70D6E">
        <w:rPr>
          <w:rFonts w:ascii="Eurobank Sans" w:hAnsi="Eurobank Sans" w:cs="Arial"/>
          <w:color w:val="021342"/>
          <w:lang w:val="el-GR"/>
        </w:rPr>
        <w:t>Moodys</w:t>
      </w:r>
      <w:proofErr w:type="spellEnd"/>
      <w:r w:rsidRPr="00B70D6E">
        <w:rPr>
          <w:rFonts w:ascii="Eurobank Sans" w:hAnsi="Eurobank Sans" w:cs="Arial"/>
          <w:color w:val="021342"/>
          <w:lang w:val="el-GR"/>
        </w:rPr>
        <w:t>, που δεν έχει δώσει ακόμη την επενδυτική βαθμίδα στην Ελλάδα, σε μια βαθμίδα πάνω από την επενδυτική.</w:t>
      </w:r>
    </w:p>
    <w:p w14:paraId="1F804881" w14:textId="77777777" w:rsidR="00B70D6E" w:rsidRPr="00B70D6E" w:rsidRDefault="00B70D6E" w:rsidP="00B70D6E">
      <w:pPr>
        <w:spacing w:line="360" w:lineRule="auto"/>
        <w:ind w:left="-426" w:right="-477"/>
        <w:jc w:val="both"/>
        <w:rPr>
          <w:rFonts w:ascii="Eurobank Sans" w:hAnsi="Eurobank Sans" w:cs="Arial"/>
          <w:color w:val="021342"/>
          <w:lang w:val="el-GR"/>
        </w:rPr>
      </w:pPr>
    </w:p>
    <w:p w14:paraId="176A40AD"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Κυρίες και Κύριοι Μέτοχοι,</w:t>
      </w:r>
    </w:p>
    <w:p w14:paraId="623FEF15" w14:textId="77777777" w:rsidR="00B70D6E" w:rsidRPr="00B70D6E" w:rsidRDefault="00B70D6E" w:rsidP="00B70D6E">
      <w:pPr>
        <w:spacing w:line="360" w:lineRule="auto"/>
        <w:ind w:left="-426" w:right="-477"/>
        <w:jc w:val="both"/>
        <w:rPr>
          <w:rFonts w:ascii="Eurobank Sans" w:hAnsi="Eurobank Sans" w:cs="Arial"/>
          <w:color w:val="021342"/>
          <w:lang w:val="el-GR"/>
        </w:rPr>
      </w:pPr>
    </w:p>
    <w:p w14:paraId="49C3E859" w14:textId="77777777" w:rsidR="00B70D6E" w:rsidRPr="00B70D6E" w:rsidRDefault="00B70D6E" w:rsidP="00B70D6E">
      <w:pPr>
        <w:spacing w:line="360" w:lineRule="auto"/>
        <w:ind w:left="-426" w:right="-477"/>
        <w:jc w:val="both"/>
        <w:rPr>
          <w:rFonts w:ascii="Eurobank Sans" w:hAnsi="Eurobank Sans" w:cs="Arial"/>
          <w:color w:val="021342"/>
          <w:lang w:val="el-GR"/>
        </w:rPr>
      </w:pPr>
      <w:proofErr w:type="spellStart"/>
      <w:r w:rsidRPr="00B70D6E">
        <w:rPr>
          <w:rFonts w:ascii="Eurobank Sans" w:hAnsi="Eurobank Sans" w:cs="Arial"/>
          <w:color w:val="021342"/>
          <w:lang w:val="el-GR"/>
        </w:rPr>
        <w:t>To</w:t>
      </w:r>
      <w:proofErr w:type="spellEnd"/>
      <w:r w:rsidRPr="00B70D6E">
        <w:rPr>
          <w:rFonts w:ascii="Eurobank Sans" w:hAnsi="Eurobank Sans" w:cs="Arial"/>
          <w:color w:val="021342"/>
          <w:lang w:val="el-GR"/>
        </w:rPr>
        <w:t xml:space="preserve"> 2023 ξεκίνησε επίσης η υλοποίηση της μακρόπνοης και φιλόδοξης Στρατηγικής Βιωσιμότητας της Τράπεζας, η οποία στοιχειοθετεί το όραμα για το σύνολο του Ομίλου. </w:t>
      </w:r>
    </w:p>
    <w:p w14:paraId="7BB57180"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 xml:space="preserve">Παραμένοντας συνεπείς στη στρατηγική μας προσέγγιση που ορίζει ότι θα στηρίξουμε την πράσινη μετάβαση της οικονομίας, σημειώσαμε πρόοδο σε συγκεκριμένους στόχους (ποιοτικούς και ποσοτικούς) σε σχέση με την </w:t>
      </w:r>
      <w:r w:rsidRPr="00B70D6E">
        <w:rPr>
          <w:rFonts w:ascii="Eurobank Sans" w:hAnsi="Eurobank Sans" w:cs="Arial"/>
          <w:b/>
          <w:bCs/>
          <w:color w:val="021342"/>
          <w:lang w:val="el-GR"/>
        </w:rPr>
        <w:t>Στρατηγική Χρηματοοικονομική Επίδραση</w:t>
      </w:r>
      <w:r w:rsidRPr="00B70D6E">
        <w:rPr>
          <w:rFonts w:ascii="Eurobank Sans" w:hAnsi="Eurobank Sans" w:cs="Arial"/>
          <w:color w:val="021342"/>
          <w:lang w:val="el-GR"/>
        </w:rPr>
        <w:t>, με μια σειρά από ενέργειες. Ενδεικτικά αναφέρω πως:</w:t>
      </w:r>
    </w:p>
    <w:p w14:paraId="7AD02D2A"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 Πάνω από το 20% των νέων εταιρικών εκταμιεύσεων χαρακτηρίζονται ως βιώσιμες</w:t>
      </w:r>
    </w:p>
    <w:p w14:paraId="1F61933B"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 Περισσότερο από το 50% των νέων εκταμιεύσεων στον τομέα της ενέργειας κατευθύνεται στις ΑΠΕ</w:t>
      </w:r>
    </w:p>
    <w:p w14:paraId="7D59F25B"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- 100% των εκταμιεύσεων που σχετίζονται με την κατασκευή νέων κτιρίων κατευθύνθηκαν σε πράσινα κτίρια.</w:t>
      </w:r>
    </w:p>
    <w:p w14:paraId="7EB38889"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 Περισσότερο από 2 φορές αύξηση των νέων πράσινων εκταμιεύσεών μας προς τα νοικοκυριά και τις μικρές επιχειρήσεις.</w:t>
      </w:r>
    </w:p>
    <w:p w14:paraId="4889FD29"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 xml:space="preserve">Σε σχέση με τη </w:t>
      </w:r>
      <w:r w:rsidRPr="00B70D6E">
        <w:rPr>
          <w:rFonts w:ascii="Eurobank Sans" w:hAnsi="Eurobank Sans" w:cs="Arial"/>
          <w:b/>
          <w:bCs/>
          <w:color w:val="021342"/>
          <w:lang w:val="el-GR"/>
        </w:rPr>
        <w:t>Στρατηγική Επιχειρησιακής Επίδρασης</w:t>
      </w:r>
      <w:r w:rsidRPr="00B70D6E">
        <w:rPr>
          <w:rFonts w:ascii="Eurobank Sans" w:hAnsi="Eurobank Sans" w:cs="Arial"/>
          <w:color w:val="021342"/>
          <w:lang w:val="el-GR"/>
        </w:rPr>
        <w:t>, στοχεύουμε στη βελτίωση του περιβαλλοντικού αντικτύπου, ελαχιστοποιώντας τις αρνητικές επιπτώσεις στις δραστηριότητές μας. Ήδη, η Διοίκηση της τράπεζας μετακόμισε στο νέο πλήρως βιοκλιματικό κτίριο ενώ στο κτίριο της Νέας Ιωνίας, όπου αυτή τη στιγμή βρισκόμαστε, ξεκίνησε νέο πρόγραμμα ανακύκλωσης. Βελτιώνουμε τον Κοινωνικό αντίκτυπο, παρέχοντας ένα περιβάλλον χωρίς διακρίσεις και αποκλεισμούς για τους ανθρώπους και τους πελάτες μας, ενώ προάγουμε τη βιώσιμη ανάπτυξη και την ευημερία προς όφελος της κοινωνίας. Βελτιώνουμε τον Αντίκτυπο στη  Διακυβέρνηση και την Επιχειρηματικότητα, εστιάζοντας στην οικοδόμηση της ευαισθητοποίησης για τα ESG, εσωτερικά και σε όλη την αλυσίδα αξίας μας, ενώ εντείνουμε τις προσπάθειές μας για ηθική και διαφάνεια.</w:t>
      </w:r>
    </w:p>
    <w:p w14:paraId="70C1DE71"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 xml:space="preserve">Η πορεία της Τράπεζας προς τη Βιωσιμότητα </w:t>
      </w:r>
      <w:r w:rsidRPr="00B70D6E">
        <w:rPr>
          <w:rFonts w:ascii="Eurobank Sans" w:hAnsi="Eurobank Sans" w:cs="Arial"/>
          <w:b/>
          <w:bCs/>
          <w:color w:val="021342"/>
          <w:lang w:val="el-GR"/>
        </w:rPr>
        <w:t>αξιολογήθηκε</w:t>
      </w:r>
      <w:r w:rsidRPr="00B70D6E">
        <w:rPr>
          <w:rFonts w:ascii="Eurobank Sans" w:hAnsi="Eurobank Sans" w:cs="Arial"/>
          <w:color w:val="021342"/>
          <w:lang w:val="el-GR"/>
        </w:rPr>
        <w:t xml:space="preserve"> και το 2023 από διεθνούς κύρους οίκους ESG </w:t>
      </w:r>
      <w:proofErr w:type="spellStart"/>
      <w:r w:rsidRPr="00B70D6E">
        <w:rPr>
          <w:rFonts w:ascii="Eurobank Sans" w:hAnsi="Eurobank Sans" w:cs="Arial"/>
          <w:color w:val="021342"/>
          <w:lang w:val="el-GR"/>
        </w:rPr>
        <w:t>Rating</w:t>
      </w:r>
      <w:proofErr w:type="spellEnd"/>
      <w:r w:rsidRPr="00B70D6E">
        <w:rPr>
          <w:rFonts w:ascii="Eurobank Sans" w:hAnsi="Eurobank Sans" w:cs="Arial"/>
          <w:color w:val="021342"/>
          <w:lang w:val="el-GR"/>
        </w:rPr>
        <w:t xml:space="preserve"> και σημειώθηκαν σημαντικές βελτιώσεις σε σύγκριση με τα προηγούμενο έτος. Έτσι, το 2023, η Τράπεζα διακρίθηκε από τον οίκο </w:t>
      </w:r>
      <w:proofErr w:type="spellStart"/>
      <w:r w:rsidRPr="00B70D6E">
        <w:rPr>
          <w:rFonts w:ascii="Eurobank Sans" w:hAnsi="Eurobank Sans" w:cs="Arial"/>
          <w:color w:val="021342"/>
          <w:lang w:val="el-GR"/>
        </w:rPr>
        <w:t>Sustainalytics</w:t>
      </w:r>
      <w:proofErr w:type="spellEnd"/>
      <w:r w:rsidRPr="00B70D6E">
        <w:rPr>
          <w:rFonts w:ascii="Eurobank Sans" w:hAnsi="Eurobank Sans" w:cs="Arial"/>
          <w:color w:val="021342"/>
          <w:lang w:val="el-GR"/>
        </w:rPr>
        <w:t xml:space="preserve"> και έλαβε τη διεθνή διάκριση ESG </w:t>
      </w:r>
      <w:proofErr w:type="spellStart"/>
      <w:r w:rsidRPr="00B70D6E">
        <w:rPr>
          <w:rFonts w:ascii="Eurobank Sans" w:hAnsi="Eurobank Sans" w:cs="Arial"/>
          <w:color w:val="021342"/>
          <w:lang w:val="el-GR"/>
        </w:rPr>
        <w:t>Regional</w:t>
      </w:r>
      <w:proofErr w:type="spellEnd"/>
      <w:r w:rsidRPr="00B70D6E">
        <w:rPr>
          <w:rFonts w:ascii="Eurobank Sans" w:hAnsi="Eurobank Sans" w:cs="Arial"/>
          <w:color w:val="021342"/>
          <w:lang w:val="el-GR"/>
        </w:rPr>
        <w:t xml:space="preserve"> Top </w:t>
      </w:r>
      <w:proofErr w:type="spellStart"/>
      <w:r w:rsidRPr="00B70D6E">
        <w:rPr>
          <w:rFonts w:ascii="Eurobank Sans" w:hAnsi="Eurobank Sans" w:cs="Arial"/>
          <w:color w:val="021342"/>
          <w:lang w:val="el-GR"/>
        </w:rPr>
        <w:t>Rated</w:t>
      </w:r>
      <w:proofErr w:type="spellEnd"/>
      <w:r w:rsidRPr="00B70D6E">
        <w:rPr>
          <w:rFonts w:ascii="Eurobank Sans" w:hAnsi="Eurobank Sans" w:cs="Arial"/>
          <w:color w:val="021342"/>
          <w:lang w:val="el-GR"/>
        </w:rPr>
        <w:t xml:space="preserve">, τη διάκριση ESG Industry Top </w:t>
      </w:r>
      <w:proofErr w:type="spellStart"/>
      <w:r w:rsidRPr="00B70D6E">
        <w:rPr>
          <w:rFonts w:ascii="Eurobank Sans" w:hAnsi="Eurobank Sans" w:cs="Arial"/>
          <w:color w:val="021342"/>
          <w:lang w:val="el-GR"/>
        </w:rPr>
        <w:t>Rated</w:t>
      </w:r>
      <w:proofErr w:type="spellEnd"/>
      <w:r w:rsidRPr="00B70D6E">
        <w:rPr>
          <w:rFonts w:ascii="Eurobank Sans" w:hAnsi="Eurobank Sans" w:cs="Arial"/>
          <w:color w:val="021342"/>
          <w:lang w:val="el-GR"/>
        </w:rPr>
        <w:t xml:space="preserve"> για 2η συνεχόμενη χρονιά και εντάχθηκε στη λίστα </w:t>
      </w:r>
      <w:proofErr w:type="spellStart"/>
      <w:r w:rsidRPr="00B70D6E">
        <w:rPr>
          <w:rFonts w:ascii="Eurobank Sans" w:hAnsi="Eurobank Sans" w:cs="Arial"/>
          <w:color w:val="021342"/>
          <w:lang w:val="el-GR"/>
        </w:rPr>
        <w:lastRenderedPageBreak/>
        <w:t>Morningstar</w:t>
      </w:r>
      <w:proofErr w:type="spellEnd"/>
      <w:r w:rsidRPr="00B70D6E">
        <w:rPr>
          <w:rFonts w:ascii="Eurobank Sans" w:hAnsi="Eurobank Sans" w:cs="Arial"/>
          <w:color w:val="021342"/>
          <w:lang w:val="el-GR"/>
        </w:rPr>
        <w:t xml:space="preserve"> </w:t>
      </w:r>
      <w:proofErr w:type="spellStart"/>
      <w:r w:rsidRPr="00B70D6E">
        <w:rPr>
          <w:rFonts w:ascii="Eurobank Sans" w:hAnsi="Eurobank Sans" w:cs="Arial"/>
          <w:color w:val="021342"/>
          <w:lang w:val="el-GR"/>
        </w:rPr>
        <w:t>Sustainalytics</w:t>
      </w:r>
      <w:proofErr w:type="spellEnd"/>
      <w:r w:rsidRPr="00B70D6E">
        <w:rPr>
          <w:rFonts w:ascii="Eurobank Sans" w:hAnsi="Eurobank Sans" w:cs="Arial"/>
          <w:color w:val="021342"/>
          <w:lang w:val="el-GR"/>
        </w:rPr>
        <w:t>' 2024 Top-</w:t>
      </w:r>
      <w:proofErr w:type="spellStart"/>
      <w:r w:rsidRPr="00B70D6E">
        <w:rPr>
          <w:rFonts w:ascii="Eurobank Sans" w:hAnsi="Eurobank Sans" w:cs="Arial"/>
          <w:color w:val="021342"/>
          <w:lang w:val="el-GR"/>
        </w:rPr>
        <w:t>Rated</w:t>
      </w:r>
      <w:proofErr w:type="spellEnd"/>
      <w:r w:rsidRPr="00B70D6E">
        <w:rPr>
          <w:rFonts w:ascii="Eurobank Sans" w:hAnsi="Eurobank Sans" w:cs="Arial"/>
          <w:color w:val="021342"/>
          <w:lang w:val="el-GR"/>
        </w:rPr>
        <w:t xml:space="preserve"> ESG Companies. Η Eurobank κατατάχθηκε στην 45η θέση από τις 1.030 τράπεζες που συμμετείχαν.</w:t>
      </w:r>
    </w:p>
    <w:p w14:paraId="587F7901"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Άλλα σημαντικά αποτελέσματα περιλαμβάνουν βελτιωμένες αξιολογήσεις από τους οίκους ΜSCI, S&amp;P, CDP, FTSE και τέλος ISS ESG όπου αξίζει να σημειωθεί η επίτευξη της κορυφαίας βαθμίδας σε θέματα περιβάλλοντος (E:1).</w:t>
      </w:r>
    </w:p>
    <w:p w14:paraId="2D520131" w14:textId="77777777" w:rsidR="00B70D6E" w:rsidRPr="00B70D6E" w:rsidRDefault="00B70D6E" w:rsidP="00B70D6E">
      <w:pPr>
        <w:spacing w:line="360" w:lineRule="auto"/>
        <w:ind w:left="-426" w:right="-477"/>
        <w:jc w:val="both"/>
        <w:rPr>
          <w:rFonts w:ascii="Eurobank Sans" w:hAnsi="Eurobank Sans" w:cs="Arial"/>
          <w:color w:val="021342"/>
          <w:lang w:val="el-GR"/>
        </w:rPr>
      </w:pPr>
    </w:p>
    <w:p w14:paraId="3E0488DF" w14:textId="77777777" w:rsidR="00B70D6E" w:rsidRPr="00B70D6E" w:rsidRDefault="00B70D6E" w:rsidP="00B70D6E">
      <w:pPr>
        <w:spacing w:line="360" w:lineRule="auto"/>
        <w:ind w:left="-426" w:right="-477"/>
        <w:jc w:val="both"/>
        <w:rPr>
          <w:rFonts w:ascii="Eurobank Sans" w:hAnsi="Eurobank Sans" w:cs="Arial"/>
          <w:color w:val="021342"/>
          <w:lang w:val="el-GR"/>
        </w:rPr>
      </w:pPr>
    </w:p>
    <w:p w14:paraId="4F03A535"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 xml:space="preserve">Στον τομέα της Εταιρικής Κοινωνικής Ευθύνης, εδώ και πολλά χρόνια η Eurobank υλοποιεί και εξελίσσει ένα </w:t>
      </w:r>
      <w:r w:rsidRPr="00B70D6E">
        <w:rPr>
          <w:rFonts w:ascii="Eurobank Sans" w:hAnsi="Eurobank Sans" w:cs="Arial"/>
          <w:b/>
          <w:bCs/>
          <w:color w:val="021342"/>
          <w:lang w:val="el-GR"/>
        </w:rPr>
        <w:t>πολύπλευρο Πρόγραμμα</w:t>
      </w:r>
      <w:r w:rsidRPr="00B70D6E">
        <w:rPr>
          <w:rFonts w:ascii="Eurobank Sans" w:hAnsi="Eurobank Sans" w:cs="Arial"/>
          <w:color w:val="021342"/>
          <w:lang w:val="el-GR"/>
        </w:rPr>
        <w:t xml:space="preserve"> και μέσα από αυτό, αφήνει το δικό της ουσιαστικό θετικό αποτύπωμα για τη χώρα, τους πολίτες και κυρίως για τους νέους. </w:t>
      </w:r>
    </w:p>
    <w:p w14:paraId="59E5C60F"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 xml:space="preserve">Η μεγάλη μας </w:t>
      </w:r>
      <w:r w:rsidRPr="00B70D6E">
        <w:rPr>
          <w:rFonts w:ascii="Eurobank Sans" w:hAnsi="Eurobank Sans" w:cs="Arial"/>
          <w:b/>
          <w:bCs/>
          <w:color w:val="021342"/>
          <w:lang w:val="el-GR"/>
        </w:rPr>
        <w:t>Πρωτοβουλία για την ανάδειξη και την αντιμετώπιση του Δημογραφικού ζητήματος</w:t>
      </w:r>
      <w:r w:rsidRPr="00B70D6E">
        <w:rPr>
          <w:rFonts w:ascii="Eurobank Sans" w:hAnsi="Eurobank Sans" w:cs="Arial"/>
          <w:color w:val="021342"/>
          <w:lang w:val="el-GR"/>
        </w:rPr>
        <w:t xml:space="preserve"> ξεκίνησε τον Ιούνιο του 2021, και σήμερα, τρία χρόνια μετά, αισθανόμαστε ιδιαίτερα ικανοποιημένοι που το σοβαρό αυτό θέμα έχει </w:t>
      </w:r>
      <w:r w:rsidRPr="00B70D6E">
        <w:rPr>
          <w:rFonts w:ascii="Eurobank Sans" w:hAnsi="Eurobank Sans" w:cs="Arial"/>
          <w:b/>
          <w:bCs/>
          <w:color w:val="021342"/>
          <w:lang w:val="el-GR"/>
        </w:rPr>
        <w:t xml:space="preserve">ανέβει ψηλά στην </w:t>
      </w:r>
      <w:proofErr w:type="spellStart"/>
      <w:r w:rsidRPr="00B70D6E">
        <w:rPr>
          <w:rFonts w:ascii="Eurobank Sans" w:hAnsi="Eurobank Sans" w:cs="Arial"/>
          <w:b/>
          <w:bCs/>
          <w:color w:val="021342"/>
          <w:lang w:val="el-GR"/>
        </w:rPr>
        <w:t>agenda</w:t>
      </w:r>
      <w:proofErr w:type="spellEnd"/>
      <w:r w:rsidRPr="00B70D6E">
        <w:rPr>
          <w:rFonts w:ascii="Eurobank Sans" w:hAnsi="Eurobank Sans" w:cs="Arial"/>
          <w:b/>
          <w:bCs/>
          <w:color w:val="021342"/>
          <w:lang w:val="el-GR"/>
        </w:rPr>
        <w:t xml:space="preserve"> του δημόσιου διαλόγου</w:t>
      </w:r>
      <w:r w:rsidRPr="00B70D6E">
        <w:rPr>
          <w:rFonts w:ascii="Eurobank Sans" w:hAnsi="Eurobank Sans" w:cs="Arial"/>
          <w:color w:val="021342"/>
          <w:lang w:val="el-GR"/>
        </w:rPr>
        <w:t xml:space="preserve">. Οι δράσεις της τράπεζας για το δημογραφικό επιδιώκουν να στηρίξουν τις νέες οικογένειες που επιθυμούν να κάνουν ένα παιδί, ή ένα ακόμα παιδί. Ο μέχρι σήμερα απολογισμός του Προγράμματος είναι θετικός και ενθαρρυντικός. Μόνο από το πρόγραμμα της εξωσωματικής γονιμοποίησης, που χορηγήθηκε πλήρως από την Eurobank,  </w:t>
      </w:r>
      <w:r w:rsidRPr="00B70D6E">
        <w:rPr>
          <w:rFonts w:ascii="Eurobank Sans" w:hAnsi="Eurobank Sans" w:cs="Arial"/>
          <w:b/>
          <w:bCs/>
          <w:color w:val="021342"/>
          <w:lang w:val="el-GR"/>
        </w:rPr>
        <w:t>έχουν γεννηθεί 37 παιδιά.</w:t>
      </w:r>
      <w:r w:rsidRPr="00B70D6E">
        <w:rPr>
          <w:rFonts w:ascii="Eurobank Sans" w:hAnsi="Eurobank Sans" w:cs="Arial"/>
          <w:color w:val="021342"/>
          <w:lang w:val="el-GR"/>
        </w:rPr>
        <w:t xml:space="preserve"> </w:t>
      </w:r>
    </w:p>
    <w:p w14:paraId="5EEC0530"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 xml:space="preserve">Αξιοποιώντας επίσης τις δυνατότητες που προσφέρει η τεχνολογία, σχεδιάσαμε και υλοποιήσαμε ένα φιλόδοξο Πρόγραμμα μεταφοράς θέσεων εργασίας από την Αθήνα στην Περιφέρεια και μέσα από αυτό </w:t>
      </w:r>
      <w:r w:rsidRPr="00B70D6E">
        <w:rPr>
          <w:rFonts w:ascii="Eurobank Sans" w:hAnsi="Eurobank Sans" w:cs="Arial"/>
          <w:b/>
          <w:bCs/>
          <w:color w:val="021342"/>
          <w:lang w:val="el-GR"/>
        </w:rPr>
        <w:t>προσφέραμε δουλειά σε 75 νέες και νέους από τον Έβρο και τα νησιά του Βορείου Αιγαίου</w:t>
      </w:r>
      <w:r w:rsidRPr="00B70D6E">
        <w:rPr>
          <w:rFonts w:ascii="Eurobank Sans" w:hAnsi="Eurobank Sans" w:cs="Arial"/>
          <w:color w:val="021342"/>
          <w:lang w:val="el-GR"/>
        </w:rPr>
        <w:t xml:space="preserve">, δίνοντάς τους έτσι τη δυνατότητα να παραμείνουν στον τόπο τους και να μεγαλώσουν εκεί την οικογένειά τους. </w:t>
      </w:r>
    </w:p>
    <w:p w14:paraId="1F8FF72E"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 xml:space="preserve">Το Πρόγραμμα </w:t>
      </w:r>
      <w:r w:rsidRPr="00B70D6E">
        <w:rPr>
          <w:rFonts w:ascii="Eurobank Sans" w:hAnsi="Eurobank Sans" w:cs="Arial"/>
          <w:b/>
          <w:bCs/>
          <w:color w:val="021342"/>
          <w:lang w:val="el-GR"/>
        </w:rPr>
        <w:t>«Μπροστά για την Παιδεία»,</w:t>
      </w:r>
      <w:r w:rsidRPr="00B70D6E">
        <w:rPr>
          <w:rFonts w:ascii="Eurobank Sans" w:hAnsi="Eurobank Sans" w:cs="Arial"/>
          <w:color w:val="021342"/>
          <w:lang w:val="el-GR"/>
        </w:rPr>
        <w:t xml:space="preserve"> σε συνεργασία με το Υπουργείο Παιδείας και Θρησκευμάτων από το 2003, έχει μέχρι σήμερα </w:t>
      </w:r>
      <w:r w:rsidRPr="00B70D6E">
        <w:rPr>
          <w:rFonts w:ascii="Eurobank Sans" w:hAnsi="Eurobank Sans" w:cs="Arial"/>
          <w:b/>
          <w:bCs/>
          <w:color w:val="021342"/>
          <w:lang w:val="el-GR"/>
        </w:rPr>
        <w:t>βραβεύσει περισσότερους από 22.000 αποφοίτων Λυκείου από όλη την Ελλάδα,</w:t>
      </w:r>
      <w:r w:rsidRPr="00B70D6E">
        <w:rPr>
          <w:rFonts w:ascii="Eurobank Sans" w:hAnsi="Eurobank Sans" w:cs="Arial"/>
          <w:color w:val="021342"/>
          <w:lang w:val="el-GR"/>
        </w:rPr>
        <w:t xml:space="preserve"> ενώ φέτος ανακοινώσαμε τη συνεργασία μας με το Οικονομικό Πανεπιστήμιο Αθηνών και χρηματοδοτούμε πλήρως ένα </w:t>
      </w:r>
      <w:r w:rsidRPr="00B70D6E">
        <w:rPr>
          <w:rFonts w:ascii="Eurobank Sans" w:hAnsi="Eurobank Sans" w:cs="Arial"/>
          <w:b/>
          <w:bCs/>
          <w:color w:val="021342"/>
          <w:lang w:val="el-GR"/>
        </w:rPr>
        <w:t>μεταπτυχιακό πρόγραμμα σπουδών στον ψηφιακό μετασχηματισμό,</w:t>
      </w:r>
      <w:r w:rsidRPr="00B70D6E">
        <w:rPr>
          <w:rFonts w:ascii="Eurobank Sans" w:hAnsi="Eurobank Sans" w:cs="Arial"/>
          <w:color w:val="021342"/>
          <w:lang w:val="el-GR"/>
        </w:rPr>
        <w:t xml:space="preserve"> τη σημαντικότερη ίσως ανάγκη όλων των μεγάλων οργανισμών. </w:t>
      </w:r>
    </w:p>
    <w:p w14:paraId="710A5309"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 xml:space="preserve">Προς την ίδια κατεύθυνση, </w:t>
      </w:r>
      <w:r w:rsidRPr="00B70D6E">
        <w:rPr>
          <w:rFonts w:ascii="Eurobank Sans" w:hAnsi="Eurobank Sans" w:cs="Arial"/>
          <w:b/>
          <w:bCs/>
          <w:color w:val="021342"/>
          <w:lang w:val="el-GR"/>
        </w:rPr>
        <w:t xml:space="preserve">ο επιχειρηματικός επιταχυντής </w:t>
      </w:r>
      <w:proofErr w:type="spellStart"/>
      <w:r w:rsidRPr="00B70D6E">
        <w:rPr>
          <w:rFonts w:ascii="Eurobank Sans" w:hAnsi="Eurobank Sans" w:cs="Arial"/>
          <w:b/>
          <w:bCs/>
          <w:color w:val="021342"/>
          <w:lang w:val="el-GR"/>
        </w:rPr>
        <w:t>egg</w:t>
      </w:r>
      <w:proofErr w:type="spellEnd"/>
      <w:r w:rsidRPr="00B70D6E">
        <w:rPr>
          <w:rFonts w:ascii="Eurobank Sans" w:hAnsi="Eurobank Sans" w:cs="Arial"/>
          <w:color w:val="021342"/>
          <w:lang w:val="el-GR"/>
        </w:rPr>
        <w:t xml:space="preserve"> της </w:t>
      </w:r>
      <w:proofErr w:type="spellStart"/>
      <w:r w:rsidRPr="00B70D6E">
        <w:rPr>
          <w:rFonts w:ascii="Eurobank Sans" w:hAnsi="Eurobank Sans" w:cs="Arial"/>
          <w:color w:val="021342"/>
          <w:lang w:val="el-GR"/>
        </w:rPr>
        <w:t>Eurobank</w:t>
      </w:r>
      <w:proofErr w:type="spellEnd"/>
      <w:r w:rsidRPr="00B70D6E">
        <w:rPr>
          <w:rFonts w:ascii="Eurobank Sans" w:hAnsi="Eurobank Sans" w:cs="Arial"/>
          <w:color w:val="021342"/>
          <w:lang w:val="el-GR"/>
        </w:rPr>
        <w:t xml:space="preserve"> έχει αναδειχθεί ως ο πιο πετυχημένος </w:t>
      </w:r>
      <w:proofErr w:type="spellStart"/>
      <w:r w:rsidRPr="00B70D6E">
        <w:rPr>
          <w:rFonts w:ascii="Eurobank Sans" w:hAnsi="Eurobank Sans" w:cs="Arial"/>
          <w:color w:val="021342"/>
          <w:lang w:val="el-GR"/>
        </w:rPr>
        <w:t>start-up</w:t>
      </w:r>
      <w:proofErr w:type="spellEnd"/>
      <w:r w:rsidRPr="00B70D6E">
        <w:rPr>
          <w:rFonts w:ascii="Eurobank Sans" w:hAnsi="Eurobank Sans" w:cs="Arial"/>
          <w:color w:val="021342"/>
          <w:lang w:val="el-GR"/>
        </w:rPr>
        <w:t xml:space="preserve"> </w:t>
      </w:r>
      <w:proofErr w:type="spellStart"/>
      <w:r w:rsidRPr="00B70D6E">
        <w:rPr>
          <w:rFonts w:ascii="Eurobank Sans" w:hAnsi="Eurobank Sans" w:cs="Arial"/>
          <w:color w:val="021342"/>
          <w:lang w:val="el-GR"/>
        </w:rPr>
        <w:t>accelerator</w:t>
      </w:r>
      <w:proofErr w:type="spellEnd"/>
      <w:r w:rsidRPr="00B70D6E">
        <w:rPr>
          <w:rFonts w:ascii="Eurobank Sans" w:hAnsi="Eurobank Sans" w:cs="Arial"/>
          <w:color w:val="021342"/>
          <w:lang w:val="el-GR"/>
        </w:rPr>
        <w:t xml:space="preserve"> στην Ελλάδα, έχοντας προσφέρει σε περισσότερους από 1.200 νέους </w:t>
      </w:r>
      <w:r w:rsidRPr="00B70D6E">
        <w:rPr>
          <w:rFonts w:ascii="Eurobank Sans" w:hAnsi="Eurobank Sans" w:cs="Arial"/>
          <w:color w:val="021342"/>
          <w:lang w:val="el-GR"/>
        </w:rPr>
        <w:lastRenderedPageBreak/>
        <w:t xml:space="preserve">την ευκαιρία να εξελίξουν τις επιχειρηματικές τους ιδέες και να τύχουν σημαντικής αναγνώρισης σε εθνικό ή/και ευρωπαϊκό επίπεδο. </w:t>
      </w:r>
    </w:p>
    <w:p w14:paraId="34206A5E"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 xml:space="preserve">Η Eurobank έχει αποδείξει επίσης, έμπρακτα, την ευαισθησία της </w:t>
      </w:r>
      <w:r w:rsidRPr="00B70D6E">
        <w:rPr>
          <w:rFonts w:ascii="Eurobank Sans" w:hAnsi="Eurobank Sans" w:cs="Arial"/>
          <w:b/>
          <w:bCs/>
          <w:color w:val="021342"/>
          <w:lang w:val="el-GR"/>
        </w:rPr>
        <w:t>σε περιόδους κρίσης και έκτακτης ανάγκη</w:t>
      </w:r>
      <w:r w:rsidRPr="00B70D6E">
        <w:rPr>
          <w:rFonts w:ascii="Eurobank Sans" w:hAnsi="Eurobank Sans" w:cs="Arial"/>
          <w:color w:val="021342"/>
          <w:lang w:val="el-GR"/>
        </w:rPr>
        <w:t xml:space="preserve">ς και έχει στηρίξει το Κράτος και την κοινωνία σε δύσκολες στιγμές. Συνεισφέραμε ως Eurobank </w:t>
      </w:r>
      <w:r w:rsidRPr="00B70D6E">
        <w:rPr>
          <w:rFonts w:ascii="Eurobank Sans" w:hAnsi="Eurobank Sans" w:cs="Arial"/>
          <w:b/>
          <w:bCs/>
          <w:color w:val="021342"/>
          <w:lang w:val="el-GR"/>
        </w:rPr>
        <w:t>12,5 εκατ. ευρώ, μέσω της  Ελληνικής Ένωσης Τραπεζών</w:t>
      </w:r>
      <w:r w:rsidRPr="00B70D6E">
        <w:rPr>
          <w:rFonts w:ascii="Eurobank Sans" w:hAnsi="Eurobank Sans" w:cs="Arial"/>
          <w:color w:val="021342"/>
          <w:lang w:val="el-GR"/>
        </w:rPr>
        <w:t xml:space="preserve">, στην αποκατάσταση του Θεσσαλικού κάμπου από τις πρωτοφανείς πλημμύρες του περυσινού καλοκαιριού, και ολοκληρώσαμε την υλοποίηση ενός μεγάλου </w:t>
      </w:r>
      <w:r w:rsidRPr="00B70D6E">
        <w:rPr>
          <w:rFonts w:ascii="Eurobank Sans" w:hAnsi="Eurobank Sans" w:cs="Arial"/>
          <w:b/>
          <w:bCs/>
          <w:color w:val="021342"/>
          <w:lang w:val="el-GR"/>
        </w:rPr>
        <w:t xml:space="preserve">αντιδιαβρωτικού και αντιπλημμυρικού έργου στο </w:t>
      </w:r>
      <w:proofErr w:type="spellStart"/>
      <w:r w:rsidRPr="00B70D6E">
        <w:rPr>
          <w:rFonts w:ascii="Eurobank Sans" w:hAnsi="Eurobank Sans" w:cs="Arial"/>
          <w:b/>
          <w:bCs/>
          <w:color w:val="021342"/>
          <w:lang w:val="el-GR"/>
        </w:rPr>
        <w:t>Κιοτάρι</w:t>
      </w:r>
      <w:proofErr w:type="spellEnd"/>
      <w:r w:rsidRPr="00B70D6E">
        <w:rPr>
          <w:rFonts w:ascii="Eurobank Sans" w:hAnsi="Eurobank Sans" w:cs="Arial"/>
          <w:b/>
          <w:bCs/>
          <w:color w:val="021342"/>
          <w:lang w:val="el-GR"/>
        </w:rPr>
        <w:t xml:space="preserve"> της Νότιας Ρόδου,</w:t>
      </w:r>
      <w:r w:rsidRPr="00B70D6E">
        <w:rPr>
          <w:rFonts w:ascii="Eurobank Sans" w:hAnsi="Eurobank Sans" w:cs="Arial"/>
          <w:color w:val="021342"/>
          <w:lang w:val="el-GR"/>
        </w:rPr>
        <w:t xml:space="preserve"> μετά από τις μεγάλες πυρκαγιές στο νησί το καλοκαίρι του 2023. </w:t>
      </w:r>
    </w:p>
    <w:p w14:paraId="5A9D79C7" w14:textId="77777777" w:rsidR="00B70D6E" w:rsidRPr="00B70D6E" w:rsidRDefault="00B70D6E" w:rsidP="00B70D6E">
      <w:pPr>
        <w:spacing w:line="360" w:lineRule="auto"/>
        <w:ind w:left="-426" w:right="-477"/>
        <w:jc w:val="both"/>
        <w:rPr>
          <w:rFonts w:ascii="Eurobank Sans" w:hAnsi="Eurobank Sans" w:cs="Arial"/>
          <w:color w:val="021342"/>
          <w:lang w:val="el-GR"/>
        </w:rPr>
      </w:pPr>
    </w:p>
    <w:p w14:paraId="6655BB21"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Κυρίες και Κύριοι Μέτοχοι,</w:t>
      </w:r>
    </w:p>
    <w:p w14:paraId="01F8DA27" w14:textId="77777777" w:rsidR="00B70D6E" w:rsidRPr="00B70D6E"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 xml:space="preserve">Ο Διευθύνων Σύμβουλος κ. </w:t>
      </w:r>
      <w:proofErr w:type="spellStart"/>
      <w:r w:rsidRPr="00B70D6E">
        <w:rPr>
          <w:rFonts w:ascii="Eurobank Sans" w:hAnsi="Eurobank Sans" w:cs="Arial"/>
          <w:color w:val="021342"/>
          <w:lang w:val="el-GR"/>
        </w:rPr>
        <w:t>Καραβίας</w:t>
      </w:r>
      <w:proofErr w:type="spellEnd"/>
      <w:r w:rsidRPr="00B70D6E">
        <w:rPr>
          <w:rFonts w:ascii="Eurobank Sans" w:hAnsi="Eurobank Sans" w:cs="Arial"/>
          <w:color w:val="021342"/>
          <w:lang w:val="el-GR"/>
        </w:rPr>
        <w:t xml:space="preserve"> θα αναφερθεί σε λίγο εκτενώς και στα οικονομικά επιτεύγματα της Eurobank. Από πλευράς μου, ως Πρόεδρος του Διοικητικού Συμβουλίου, θέλω να σας διαβεβαιώσω πως η τράπεζά μας συνεχίζει, με επιταχυνόμενο ρυθμό, να πρωτοπορεί δημιουργώντας αξία και ευημερία. Αυτό το επιτυγχάνει μέσω συνεχών πρωτοβουλιών οι οποίες την καθιστούν πιο αποτελεσματική ενώ συγχρόνως αναπτύσσεται, μεγαλώνει. Οι άνθρωποί μας δίνουν το καλύτερό τους εαυτό και λειτουργούν με ισχυρό αίσθημα ευθύνης ως πραγματικοί πρωτοπόροι προκειμένου να ανταποκριθούν στις απαιτήσεις των μετόχων μας, των πελατών μας και της κοινωνίας. Ευχαριστούμε δε ιδιαίτερα τους μετόχους μας που μας στηρίζουν με την εμπιστοσύνη τους.</w:t>
      </w:r>
    </w:p>
    <w:p w14:paraId="568F7CAE" w14:textId="42D5B2A1" w:rsidR="00B70D6E" w:rsidRPr="008D226D" w:rsidRDefault="00B70D6E" w:rsidP="00B70D6E">
      <w:pPr>
        <w:spacing w:line="360" w:lineRule="auto"/>
        <w:ind w:left="-426" w:right="-477"/>
        <w:jc w:val="both"/>
        <w:rPr>
          <w:rFonts w:ascii="Eurobank Sans" w:hAnsi="Eurobank Sans" w:cs="Arial"/>
          <w:color w:val="021342"/>
          <w:lang w:val="el-GR"/>
        </w:rPr>
      </w:pPr>
      <w:r w:rsidRPr="00B70D6E">
        <w:rPr>
          <w:rFonts w:ascii="Eurobank Sans" w:hAnsi="Eurobank Sans" w:cs="Arial"/>
          <w:color w:val="021342"/>
          <w:lang w:val="el-GR"/>
        </w:rPr>
        <w:t>Σας ευχαριστώ που με ακούσατε</w:t>
      </w:r>
    </w:p>
    <w:sectPr w:rsidR="00B70D6E" w:rsidRPr="008D226D" w:rsidSect="005F48CD">
      <w:headerReference w:type="default" r:id="rId6"/>
      <w:footerReference w:type="default" r:id="rId7"/>
      <w:pgSz w:w="11906" w:h="16838"/>
      <w:pgMar w:top="1971" w:right="1797" w:bottom="156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EF0F3" w14:textId="77777777" w:rsidR="00D63992" w:rsidRDefault="00D63992">
      <w:pPr>
        <w:spacing w:after="0" w:line="240" w:lineRule="auto"/>
      </w:pPr>
      <w:r>
        <w:separator/>
      </w:r>
    </w:p>
  </w:endnote>
  <w:endnote w:type="continuationSeparator" w:id="0">
    <w:p w14:paraId="1A2224BD" w14:textId="77777777" w:rsidR="00D63992" w:rsidRDefault="00D6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robank Sans">
    <w:altName w:val="Calibri"/>
    <w:charset w:val="A1"/>
    <w:family w:val="auto"/>
    <w:pitch w:val="variable"/>
    <w:sig w:usb0="A00002BF" w:usb1="5000000A"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9232096"/>
      <w:docPartObj>
        <w:docPartGallery w:val="Page Numbers (Bottom of Page)"/>
        <w:docPartUnique/>
      </w:docPartObj>
    </w:sdtPr>
    <w:sdtEndPr>
      <w:rPr>
        <w:noProof/>
      </w:rPr>
    </w:sdtEndPr>
    <w:sdtContent>
      <w:p w14:paraId="688552F2" w14:textId="77777777" w:rsidR="00000000"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DCBFFB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DB1C3" w14:textId="77777777" w:rsidR="00D63992" w:rsidRDefault="00D63992">
      <w:pPr>
        <w:spacing w:after="0" w:line="240" w:lineRule="auto"/>
      </w:pPr>
      <w:r>
        <w:separator/>
      </w:r>
    </w:p>
  </w:footnote>
  <w:footnote w:type="continuationSeparator" w:id="0">
    <w:p w14:paraId="2C0364D6" w14:textId="77777777" w:rsidR="00D63992" w:rsidRDefault="00D6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1B0E4" w14:textId="77777777" w:rsidR="00000000" w:rsidRPr="00405416" w:rsidRDefault="00000000" w:rsidP="00A45B20">
    <w:pPr>
      <w:pStyle w:val="Header"/>
      <w:tabs>
        <w:tab w:val="clear" w:pos="4153"/>
        <w:tab w:val="clear" w:pos="8306"/>
        <w:tab w:val="left" w:pos="7464"/>
      </w:tabs>
      <w:rPr>
        <w:b/>
        <w:bCs/>
        <w:color w:val="1F3864" w:themeColor="accent1" w:themeShade="80"/>
        <w:lang w:val="en-US"/>
      </w:rPr>
    </w:pPr>
    <w:r w:rsidRPr="00405416">
      <w:rPr>
        <w:rFonts w:ascii="Times New Roman" w:hAnsi="Times New Roman" w:cs="Times New Roman"/>
        <w:b/>
        <w:bCs/>
        <w:noProof/>
        <w:color w:val="1F3864" w:themeColor="accent1" w:themeShade="80"/>
        <w:sz w:val="24"/>
        <w:szCs w:val="24"/>
      </w:rPr>
      <w:drawing>
        <wp:anchor distT="0" distB="0" distL="114300" distR="114300" simplePos="0" relativeHeight="251659264" behindDoc="0" locked="0" layoutInCell="1" allowOverlap="1" wp14:anchorId="0B0A5D6D" wp14:editId="27AECB55">
          <wp:simplePos x="0" y="0"/>
          <wp:positionH relativeFrom="page">
            <wp:posOffset>165735</wp:posOffset>
          </wp:positionH>
          <wp:positionV relativeFrom="paragraph">
            <wp:posOffset>-366395</wp:posOffset>
          </wp:positionV>
          <wp:extent cx="5278120" cy="1097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120" cy="1097280"/>
                  </a:xfrm>
                  <a:prstGeom prst="rect">
                    <a:avLst/>
                  </a:prstGeom>
                  <a:noFill/>
                </pic:spPr>
              </pic:pic>
            </a:graphicData>
          </a:graphic>
          <wp14:sizeRelH relativeFrom="page">
            <wp14:pctWidth>0</wp14:pctWidth>
          </wp14:sizeRelH>
          <wp14:sizeRelV relativeFrom="page">
            <wp14:pctHeight>0</wp14:pctHeight>
          </wp14:sizeRelV>
        </wp:anchor>
      </w:drawing>
    </w:r>
    <w:r w:rsidRPr="00405416">
      <w:rPr>
        <w:b/>
        <w:bCs/>
        <w:color w:val="1F3864" w:themeColor="accent1" w:themeShade="80"/>
        <w:lang w:val="el-GR"/>
      </w:rPr>
      <w:ptab w:relativeTo="margin" w:alignment="center" w:leader="none"/>
    </w:r>
    <w:r w:rsidRPr="00405416">
      <w:rPr>
        <w:b/>
        <w:bCs/>
        <w:color w:val="1F3864" w:themeColor="accent1" w:themeShade="80"/>
        <w:lang w:val="el-GR"/>
      </w:rPr>
      <w:ptab w:relativeTo="margin" w:alignment="right" w:leader="none"/>
    </w:r>
    <w:r w:rsidRPr="00405416">
      <w:rPr>
        <w:b/>
        <w:bCs/>
        <w:color w:val="1F3864" w:themeColor="accent1" w:themeShade="80"/>
        <w:lang w:val="el-GR"/>
      </w:rPr>
      <w:t>Πρόεδρος</w:t>
    </w:r>
    <w:r w:rsidRPr="00405416">
      <w:rPr>
        <w:b/>
        <w:bCs/>
        <w:color w:val="1F3864" w:themeColor="accent1" w:themeShade="80"/>
        <w:lang w:val="en-US"/>
      </w:rPr>
      <w:t xml:space="preserve"> </w:t>
    </w:r>
    <w:r w:rsidRPr="00405416">
      <w:rPr>
        <w:b/>
        <w:bCs/>
        <w:color w:val="1F3864" w:themeColor="accent1" w:themeShade="80"/>
        <w:lang w:val="el-GR"/>
      </w:rPr>
      <w:t>Δ</w:t>
    </w:r>
    <w:r w:rsidRPr="00405416">
      <w:rPr>
        <w:b/>
        <w:bCs/>
        <w:color w:val="1F3864" w:themeColor="accent1" w:themeShade="80"/>
        <w:lang w:val="en-US"/>
      </w:rPr>
      <w:t>.</w:t>
    </w:r>
    <w:r w:rsidRPr="00405416">
      <w:rPr>
        <w:b/>
        <w:bCs/>
        <w:color w:val="1F3864" w:themeColor="accent1" w:themeShade="80"/>
        <w:lang w:val="el-GR"/>
      </w:rPr>
      <w:t>Σ</w:t>
    </w:r>
    <w:r w:rsidRPr="00405416">
      <w:rPr>
        <w:b/>
        <w:bCs/>
        <w:color w:val="1F3864" w:themeColor="accent1" w:themeShade="80"/>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6E"/>
    <w:rsid w:val="0006350B"/>
    <w:rsid w:val="008137AD"/>
    <w:rsid w:val="00B70D6E"/>
    <w:rsid w:val="00D63992"/>
    <w:rsid w:val="00F569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A83D"/>
  <w15:chartTrackingRefBased/>
  <w15:docId w15:val="{C3058BC8-CBF4-4548-BCCD-CEFF5C03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D6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D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0D6E"/>
    <w:rPr>
      <w:lang w:val="en-GB"/>
    </w:rPr>
  </w:style>
  <w:style w:type="paragraph" w:styleId="Footer">
    <w:name w:val="footer"/>
    <w:basedOn w:val="Normal"/>
    <w:link w:val="FooterChar"/>
    <w:uiPriority w:val="99"/>
    <w:unhideWhenUsed/>
    <w:rsid w:val="00B70D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0D6E"/>
    <w:rPr>
      <w:lang w:val="en-GB"/>
    </w:rPr>
  </w:style>
  <w:style w:type="paragraph" w:customStyle="1" w:styleId="FK">
    <w:name w:val="FK"/>
    <w:rsid w:val="00B70D6E"/>
    <w:pPr>
      <w:pBdr>
        <w:top w:val="nil"/>
        <w:left w:val="nil"/>
        <w:bottom w:val="nil"/>
        <w:right w:val="nil"/>
        <w:between w:val="nil"/>
        <w:bar w:val="nil"/>
      </w:pBdr>
      <w:spacing w:after="200" w:line="480" w:lineRule="auto"/>
    </w:pPr>
    <w:rPr>
      <w:rFonts w:ascii="Arial Unicode MS" w:eastAsia="Arial Unicode MS" w:hAnsi="Arial Unicode MS" w:cs="Arial Unicode MS"/>
      <w:color w:val="000000"/>
      <w:sz w:val="28"/>
      <w:szCs w:val="28"/>
      <w:u w:color="000000"/>
      <w:bdr w:val="nil"/>
      <w:lang w:eastAsia="el-GR"/>
    </w:rPr>
  </w:style>
  <w:style w:type="paragraph" w:customStyle="1" w:styleId="Default">
    <w:name w:val="Default"/>
    <w:rsid w:val="00B70D6E"/>
    <w:pPr>
      <w:autoSpaceDE w:val="0"/>
      <w:autoSpaceDN w:val="0"/>
      <w:adjustRightInd w:val="0"/>
      <w:spacing w:after="0" w:line="240" w:lineRule="auto"/>
    </w:pPr>
    <w:rPr>
      <w:rFonts w:ascii="Eurobank Sans" w:hAnsi="Eurobank Sans" w:cs="Eurobank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1978</Words>
  <Characters>11281</Characters>
  <Application>Microsoft Office Word</Application>
  <DocSecurity>0</DocSecurity>
  <Lines>94</Lines>
  <Paragraphs>26</Paragraphs>
  <ScaleCrop>false</ScaleCrop>
  <Company>Eurobank SA</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 Chrysa</dc:creator>
  <cp:keywords/>
  <dc:description/>
  <cp:lastModifiedBy>Kostats Sarris</cp:lastModifiedBy>
  <cp:revision>2</cp:revision>
  <dcterms:created xsi:type="dcterms:W3CDTF">2024-07-23T10:58:00Z</dcterms:created>
  <dcterms:modified xsi:type="dcterms:W3CDTF">2024-07-23T10:58:00Z</dcterms:modified>
</cp:coreProperties>
</file>